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02.png" ContentType="image/png"/>
  <Override PartName="/word/media/rId108.png" ContentType="image/png"/>
  <Override PartName="/word/media/rId111.png" ContentType="image/png"/>
  <Override PartName="/word/media/rId105.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analysis on the DEGs was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cells (B-cells), thereby accounting for THEV-induced IMS. We highlight the upregulated cell death (apoptosis and autophagy) pathways and responses to stimuli (especially ER-stress response) pathways identified by our GO and KEGG analyses as the likely key aspects of THEV-host cell interaction leading to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(BAK1), BCL2 interacting protein 3 like (BNIP3L), BCL2 interacting protein 3 (BNIP3), and Bcl2 modifying factor (BMF) were upregulated. Additionally, Fas cell surface death receptor (FAS), Fas associated via death domain (FADD), MAP kinase-activating death domain (MADD), programmed cell death 4(PDCD4), RB1 inducible coiled-coil 1 (RB1CC1), activating transcription factor 4 (ATF4), receptor interacting serine/threonine kinase 1 (RIPK1), tumor necrosis factor receptor superfamily member 1B (TNFRSF1B), pro-apoptotic WT1 regulator (PAWR), and apoptotic peptidase activating factor 1 (APAF1), which are potent proapoptotic factors were upregulated. Interestingly, both the intrinsic (BAK1, BNIP3L, BNIP3, BMF, RB1CC1, ATF4, PDCD4, and APAF1) and extrinsic (FAS, FADD, TNFRSF1B, MADD, and RIPK1) apoptotic pathways were represented. Conversely, we noted that, several anti-apoptotic proteins such as: BCL2 apoptosis regulator (BCL2), BCL2 interacting protein 2 (BNIP2; interacts directly with adenovirus E1B-19K protein), BCL2 related protein A1 (BCL2A1), and apoptosis inhibitor 5 (API5)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(TRAF6), autophagy related 9A (ATG9A), unc-51 like autophagy activating kinase 2 (ULK2), and autophagy related 4B cysteine peptidase (ATG4B) were upregulated.</w:t>
      </w:r>
    </w:p>
    <w:p>
      <w:pPr>
        <w:pStyle w:val="BodyText"/>
      </w:pPr>
      <w:r>
        <w:t xml:space="preserve">We also see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(LIG1), X-ray repair cross complementing 1 (XRCC1), cyclin dependent kinase 1 and 2 (CDK1, CDK2), checkpoint kinase 1 (CHEK1), 8-oxoguanine DNA glycosylase (OGG1), BLM RecQ-like-helicase (BLM), BRCA1 DNA repair associated (BRCA1), and several RAD family proteins (RAD21, RAD51, RAD51B, RAD51C, RAD54B).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 EIF1, EIF1AX, EIF3E and EIF3F, EIF3H, EIF3I, EIF3L and EIF3M – biogenesis of ribosomes BRX1 (BRIX1), MCTS1 re-initiation and release factor (MCTS1), and ribosomal protein subunits (L10a, L11, 12, 13, 14, 15, 18a, 19).</w:t>
      </w:r>
    </w:p>
    <w:p>
      <w:pPr>
        <w:pStyle w:val="BodyText"/>
      </w:pPr>
      <w:r>
        <w:rPr>
          <w:b/>
          <w:bCs/>
        </w:rPr>
        <w:t xml:space="preserve">Cellular Responses to Stimuli during THEV infection</w:t>
      </w:r>
      <w:r>
        <w:br/>
      </w:r>
      <w:r>
        <w:t xml:space="preserve">The transcriptome profile indicates that THEV infection likely induced notable ER stress, oxidative stress, and biotic stimuli. As an important cellular organelle, the endoplasmic reticulum (ER) is the major site for protein synthesis, folding and sorting. The unfolded protein response (UPR) would be activated by ER homeostasis disturbance such as ER stress [###]. In our results, following THEV infection, X box binding protein 1 (Xbp-1), a marker of inositol-requiring protein 1 (IRE1) branch upon UPR induction, was upregulated. Another protein involved in ER, HSPA5 [Heat Shock Protein Family A (Hsp70) Member 5], was induced almost 8.4 folds in activating transcriptional factor 6 (ATF6) branch of UPR. Besides, other ER-stress involved genes such as homocysteine-inducible endoplasmic reticulum stress-inducible ubiquitin-like domain member 1 (HERPUD1), DNA damage inducible transcript 3 (DDIT3), and cation transport regulator-like protein 1 (CHAC1) that is a novel gene identified in activating transcription factor 4 (ATF4) arm of the PKR-like ER protein kinase (PERK) branch of the UPR were upregulated ranking at the top 3 with the induction folds of 12.5, 10.2 and 11.9, respectively (Supplementary Table S1 and Fig. 6B). These data suggest that upon CCHFV infection, three UPRs pathways mediated by IRE1, ATF6 and PERK were likely all stimulated</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cellular metabolism processes to their advantage</w:t>
      </w:r>
      <w:r>
        <w:t xml:space="preserve"> </w:t>
      </w:r>
      <w:r>
        <w:t xml:space="preserve">(16)</w:t>
      </w:r>
      <w:r>
        <w:t xml:space="preserve">.</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(31)</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(32)</w:t>
      </w:r>
      <w:r>
        <w:t xml:space="preserve">, a popular workflow management system to drive the pipeline. Briefly, raw sequencing reads were trimmed with Cutadapt - version 1.10</w:t>
      </w:r>
      <w:r>
        <w:t xml:space="preserve"> </w:t>
      </w:r>
      <w:r>
        <w:t xml:space="preserve">(33)</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(34–36)</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101" w:name="references"/>
    <w:p>
      <w:pPr>
        <w:pStyle w:val="Heading2"/>
      </w:pPr>
      <w:r>
        <w:t xml:space="preserve">REFERENCES</w:t>
      </w:r>
    </w:p>
    <w:p>
      <w:pPr>
        <w:pStyle w:val="FirstParagraph"/>
      </w:pPr>
    </w:p>
    <w:bookmarkStart w:id="100"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7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69">
        <w:r>
          <w:rPr>
            <w:rStyle w:val="Hyperlink"/>
          </w:rPr>
          <w:t xml:space="preserve">DAVID: A web server for functional enrichment analysis and functional annotation of gene lists (2021 update)</w:t>
        </w:r>
      </w:hyperlink>
      <w:r>
        <w:t xml:space="preserve">. Nucleic Acids Research 50:W216–W221.</w:t>
      </w:r>
    </w:p>
    <w:bookmarkEnd w:id="70"/>
    <w:bookmarkStart w:id="7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Roos2006"/>
    <w:p>
      <w:pPr>
        <w:pStyle w:val="Bibliography"/>
      </w:pPr>
      <w:r>
        <w:t xml:space="preserve">29.</w:t>
      </w:r>
      <w:r>
        <w:t xml:space="preserve"> </w:t>
      </w:r>
      <w:r>
        <w:t xml:space="preserve">	</w:t>
      </w:r>
      <w:r>
        <w:t xml:space="preserve">Roos WP, Kaina B. 2006.</w:t>
      </w:r>
      <w:r>
        <w:t xml:space="preserve"> </w:t>
      </w:r>
      <w:hyperlink r:id="rId84">
        <w:r>
          <w:rPr>
            <w:rStyle w:val="Hyperlink"/>
          </w:rPr>
          <w:t xml:space="preserve">DNA damage-induced cell death by apoptosis</w:t>
        </w:r>
      </w:hyperlink>
      <w:r>
        <w:t xml:space="preserve">. Trends in Molecular Medicine 12:440–450.</w:t>
      </w:r>
    </w:p>
    <w:bookmarkEnd w:id="85"/>
    <w:bookmarkStart w:id="87" w:name="ref-Martin1993"/>
    <w:p>
      <w:pPr>
        <w:pStyle w:val="Bibliography"/>
      </w:pPr>
      <w:r>
        <w:t xml:space="preserve">30.</w:t>
      </w:r>
      <w:r>
        <w:t xml:space="preserve"> </w:t>
      </w:r>
      <w:r>
        <w:t xml:space="preserve">	</w:t>
      </w:r>
      <w:r>
        <w:t xml:space="preserve">Martin SJ. 1993.</w:t>
      </w:r>
      <w:r>
        <w:t xml:space="preserve"> </w:t>
      </w:r>
      <w:hyperlink r:id="rId86">
        <w:r>
          <w:rPr>
            <w:rStyle w:val="Hyperlink"/>
          </w:rPr>
          <w:t xml:space="preserve">Protein or RNA synthesis inhibition induces apoptosis of mature human CD4+ t cell blasts</w:t>
        </w:r>
      </w:hyperlink>
      <w:r>
        <w:t xml:space="preserve">. Immunology Letters 35:125–134.</w:t>
      </w:r>
    </w:p>
    <w:bookmarkEnd w:id="87"/>
    <w:bookmarkStart w:id="89" w:name="ref-Mahsoub2017"/>
    <w:p>
      <w:pPr>
        <w:pStyle w:val="Bibliography"/>
      </w:pPr>
      <w:r>
        <w:t xml:space="preserve">31.</w:t>
      </w:r>
      <w:r>
        <w:t xml:space="preserve"> </w:t>
      </w:r>
      <w:r>
        <w:t xml:space="preserve">	</w:t>
      </w:r>
      <w:r>
        <w:t xml:space="preserve">Mahsoub HM, Evans NP, Beach NM, Yuan L, Zimmerman K, Pierson FW. 2017.</w:t>
      </w:r>
      <w:r>
        <w:t xml:space="preserve"> </w:t>
      </w:r>
      <w:hyperlink r:id="rId88">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89"/>
    <w:bookmarkStart w:id="91"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0">
        <w:r>
          <w:rPr>
            <w:rStyle w:val="Hyperlink"/>
          </w:rPr>
          <w:t xml:space="preserve">Sustainable data analysis with snakemake</w:t>
        </w:r>
      </w:hyperlink>
      <w:r>
        <w:t xml:space="preserve">. F1000Research 10:33.</w:t>
      </w:r>
    </w:p>
    <w:bookmarkEnd w:id="91"/>
    <w:bookmarkStart w:id="93" w:name="ref-Martin2011"/>
    <w:p>
      <w:pPr>
        <w:pStyle w:val="Bibliography"/>
      </w:pPr>
      <w:r>
        <w:t xml:space="preserve">33.</w:t>
      </w:r>
      <w:r>
        <w:t xml:space="preserve"> </w:t>
      </w:r>
      <w:r>
        <w:t xml:space="preserve">	</w:t>
      </w:r>
      <w:r>
        <w:t xml:space="preserve">Martin M. 2011.</w:t>
      </w:r>
      <w:r>
        <w:t xml:space="preserve"> </w:t>
      </w:r>
      <w:hyperlink r:id="rId92">
        <w:r>
          <w:rPr>
            <w:rStyle w:val="Hyperlink"/>
          </w:rPr>
          <w:t xml:space="preserve">Cutadapt removes adapter sequences from high-throughput sequencing reads</w:t>
        </w:r>
      </w:hyperlink>
      <w:r>
        <w:t xml:space="preserve">. EMBnetjournal 17:10.</w:t>
      </w:r>
    </w:p>
    <w:bookmarkEnd w:id="93"/>
    <w:bookmarkStart w:id="95" w:name="ref-ggplot2"/>
    <w:p>
      <w:pPr>
        <w:pStyle w:val="Bibliography"/>
      </w:pPr>
      <w:r>
        <w:t xml:space="preserve">34.</w:t>
      </w:r>
      <w:r>
        <w:t xml:space="preserve"> </w:t>
      </w:r>
      <w:r>
        <w:t xml:space="preserve">	</w:t>
      </w:r>
      <w:r>
        <w:t xml:space="preserve">Wickham H. 2016. ggplot2: Elegant graphics for data analysis. Springer-Verlag New York.</w:t>
      </w:r>
      <w:r>
        <w:t xml:space="preserve"> </w:t>
      </w:r>
      <w:hyperlink r:id="rId94">
        <w:r>
          <w:rPr>
            <w:rStyle w:val="Hyperlink"/>
          </w:rPr>
          <w:t xml:space="preserve">https://ggplot2.tidyverse.org</w:t>
        </w:r>
      </w:hyperlink>
      <w:r>
        <w:t xml:space="preserve">.</w:t>
      </w:r>
    </w:p>
    <w:bookmarkEnd w:id="95"/>
    <w:bookmarkStart w:id="97" w:name="ref-pheatmap"/>
    <w:p>
      <w:pPr>
        <w:pStyle w:val="Bibliography"/>
      </w:pPr>
      <w:r>
        <w:t xml:space="preserve">35.</w:t>
      </w:r>
      <w:r>
        <w:t xml:space="preserve"> </w:t>
      </w:r>
      <w:r>
        <w:t xml:space="preserve">	</w:t>
      </w:r>
      <w:r>
        <w:t xml:space="preserve">Kolde R. 2019. Pheatmap: Pretty heatmaps.</w:t>
      </w:r>
      <w:r>
        <w:t xml:space="preserve"> </w:t>
      </w:r>
      <w:hyperlink r:id="rId96">
        <w:r>
          <w:rPr>
            <w:rStyle w:val="Hyperlink"/>
          </w:rPr>
          <w:t xml:space="preserve">https://CRAN.R-project.org/package=pheatmap</w:t>
        </w:r>
      </w:hyperlink>
      <w:r>
        <w:t xml:space="preserve">.</w:t>
      </w:r>
    </w:p>
    <w:bookmarkEnd w:id="97"/>
    <w:bookmarkStart w:id="99" w:name="ref-ggvenn"/>
    <w:p>
      <w:pPr>
        <w:pStyle w:val="Bibliography"/>
      </w:pPr>
      <w:r>
        <w:t xml:space="preserve">36.</w:t>
      </w:r>
      <w:r>
        <w:t xml:space="preserve"> </w:t>
      </w:r>
      <w:r>
        <w:t xml:space="preserve">	</w:t>
      </w:r>
      <w:r>
        <w:t xml:space="preserve">Yan L. 2023. Ggvenn: Draw venn diagram by ’ggplot2’.</w:t>
      </w:r>
      <w:r>
        <w:t xml:space="preserve"> </w:t>
      </w:r>
      <w:hyperlink r:id="rId98">
        <w:r>
          <w:rPr>
            <w:rStyle w:val="Hyperlink"/>
          </w:rPr>
          <w:t xml:space="preserve">https://CRAN.R-project.org/package=ggvenn</w:t>
        </w:r>
      </w:hyperlink>
      <w:r>
        <w:t xml:space="preserve">.</w:t>
      </w:r>
    </w:p>
    <w:bookmarkEnd w:id="99"/>
    <w:bookmarkEnd w:id="100"/>
    <w:p>
      <w:r>
        <w:br w:type="page"/>
      </w:r>
    </w:p>
    <w:bookmarkEnd w:id="101"/>
    <w:bookmarkStart w:id="114"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02"/>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05"/>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1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14"/>
    <w:bookmarkStart w:id="115" w:name="supplementary-informationmaterials"/>
    <w:p>
      <w:pPr>
        <w:pStyle w:val="Heading2"/>
      </w:pPr>
      <w:r>
        <w:t xml:space="preserve">SUPPLEMENTARY INFORMATION/MATERIALS</w:t>
      </w:r>
    </w:p>
    <w:bookmarkEnd w:id="115"/>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02" Type="http://schemas.openxmlformats.org/officeDocument/2006/relationships/image" Target="media/rId102.png"/>
<Relationship Id="rId108" Type="http://schemas.openxmlformats.org/officeDocument/2006/relationships/image" Target="media/rId108.png"/>
<Relationship Id="rId111" Type="http://schemas.openxmlformats.org/officeDocument/2006/relationships/image" Target="media/rId111.png"/>
<Relationship Id="rId105" Type="http://schemas.openxmlformats.org/officeDocument/2006/relationships/image" Target="media/rId105.png"/>
<Relationship Id="rId37" Type="http://schemas.openxmlformats.org/officeDocument/2006/relationships/hyperlink" Target="http://scholar.lib.vt.edu/theses/available/etd-08142006-145339/" TargetMode="External"/>
<Relationship Id="rId98" Type="http://schemas.openxmlformats.org/officeDocument/2006/relationships/hyperlink" Target="https://CRAN.R-project.org/package=ggvenn" TargetMode="External"/>
<Relationship Id="rId96"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88"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0"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2"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4"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98" Type="http://schemas.openxmlformats.org/officeDocument/2006/relationships/hyperlink" Target="https://CRAN.R-project.org/package=ggvenn" TargetMode="External"/>
<Relationship Id="rId96"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88"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0"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2"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4"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2024-11-15T00:25:19Z</dcterms:created>
  <dcterms:modified xsi:type="dcterms:W3CDTF">2024-11-14T17:25:21Z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